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Rule="auto"/>
        <w:jc w:val="center"/>
        <w:rPr/>
      </w:pPr>
      <w:r w:rsidDel="00000000" w:rsidR="00000000" w:rsidRPr="00000000">
        <w:rPr>
          <w:rFonts w:ascii="Arial" w:cs="Arial" w:eastAsia="Arial" w:hAnsi="Arial"/>
          <w:b w:val="1"/>
          <w:bCs w:val="1"/>
          <w:color w:val="1f4e78"/>
          <w:sz w:val="36"/>
          <w:szCs w:val="36"/>
          <w:rtl w:val="0"/>
        </w:rPr>
        <w:t xml:space="preserve">LEAH SWITZER</w:t>
      </w:r>
      <w:r w:rsidDel="00000000" w:rsidR="00000000" w:rsidRPr="00000000">
        <w:rPr>
          <w:rtl w:val="0"/>
        </w:rPr>
      </w:r>
    </w:p>
    <w:p w:rsidR="00000000" w:rsidDel="00000000" w:rsidP="00000000" w:rsidRDefault="00000000" w:rsidRPr="00000000" w14:paraId="00000002">
      <w:pPr>
        <w:spacing w:after="240" w:lineRule="auto"/>
        <w:jc w:val="center"/>
        <w:rPr>
          <w:color w:val="595959"/>
        </w:rPr>
      </w:pPr>
      <w:r w:rsidDel="00000000" w:rsidR="00000000" w:rsidRPr="00000000">
        <w:rPr>
          <w:rFonts w:ascii="Arial" w:cs="Arial" w:eastAsia="Arial" w:hAnsi="Arial"/>
          <w:color w:val="595959"/>
          <w:sz w:val="22"/>
          <w:szCs w:val="22"/>
          <w:rtl w:val="0"/>
        </w:rPr>
        <w:t xml:space="preserve">Toronto, Ontario, Canada</w:t>
      </w:r>
      <w:r w:rsidDel="00000000" w:rsidR="00000000" w:rsidRPr="00000000">
        <w:rPr>
          <w:color w:val="595959"/>
          <w:rtl w:val="0"/>
        </w:rPr>
        <w:t xml:space="preserve"> </w:t>
      </w:r>
    </w:p>
    <w:p w:rsidR="00000000" w:rsidDel="00000000" w:rsidP="00000000" w:rsidRDefault="00000000" w:rsidRPr="00000000" w14:paraId="00000003">
      <w:pPr>
        <w:spacing w:after="240" w:line="120" w:lineRule="auto"/>
        <w:jc w:val="center"/>
        <w:rPr>
          <w:color w:val="595959"/>
        </w:rPr>
      </w:pPr>
      <w:r w:rsidDel="00000000" w:rsidR="00000000" w:rsidRPr="00000000">
        <w:rPr>
          <w:color w:val="595959"/>
          <w:rtl w:val="0"/>
        </w:rPr>
        <w:t xml:space="preserve">416-894-0967</w:t>
      </w:r>
    </w:p>
    <w:p w:rsidR="00000000" w:rsidDel="00000000" w:rsidP="00000000" w:rsidRDefault="00000000" w:rsidRPr="00000000" w14:paraId="00000004">
      <w:pPr>
        <w:spacing w:after="240" w:line="120" w:lineRule="auto"/>
        <w:jc w:val="center"/>
        <w:rPr>
          <w:color w:val="595959"/>
        </w:rPr>
      </w:pPr>
      <w:r w:rsidDel="00000000" w:rsidR="00000000" w:rsidRPr="00000000">
        <w:rPr>
          <w:color w:val="595959"/>
          <w:rtl w:val="0"/>
        </w:rPr>
        <w:t xml:space="preserve">leah.a.switzer@gmail.com</w:t>
      </w:r>
    </w:p>
    <w:p w:rsidR="00000000" w:rsidDel="00000000" w:rsidP="00000000" w:rsidRDefault="00000000" w:rsidRPr="00000000" w14:paraId="00000005">
      <w:pPr>
        <w:pStyle w:val="Heading1"/>
        <w:rPr/>
      </w:pPr>
      <w:r w:rsidDel="00000000" w:rsidR="00000000" w:rsidRPr="00000000">
        <w:rPr>
          <w:rtl w:val="0"/>
        </w:rPr>
        <w:t xml:space="preserve">SUMMARY</w:t>
      </w:r>
    </w:p>
    <w:p w:rsidR="00000000" w:rsidDel="00000000" w:rsidP="00000000" w:rsidRDefault="00000000" w:rsidRPr="00000000" w14:paraId="00000006">
      <w:pPr>
        <w:spacing w:after="240" w:lineRule="auto"/>
        <w:rPr/>
      </w:pPr>
      <w:r w:rsidDel="00000000" w:rsidR="00000000" w:rsidRPr="00000000">
        <w:rPr>
          <w:sz w:val="22"/>
          <w:szCs w:val="22"/>
          <w:rtl w:val="0"/>
        </w:rPr>
        <w:t xml:space="preserve">Accomplished financial services professional with 1</w:t>
      </w:r>
      <w:r w:rsidDel="00000000" w:rsidR="00000000" w:rsidRPr="00000000">
        <w:rPr>
          <w:rtl w:val="0"/>
        </w:rPr>
        <w:t xml:space="preserve">8</w:t>
      </w:r>
      <w:r w:rsidDel="00000000" w:rsidR="00000000" w:rsidRPr="00000000">
        <w:rPr>
          <w:sz w:val="22"/>
          <w:szCs w:val="22"/>
          <w:rtl w:val="0"/>
        </w:rPr>
        <w:t xml:space="preserve"> years of experience at TD Securities and TD, specializing in commercial derivatives, risk management, and client solutions. Proven track record in structuring and pricing complex financial instruments for commercial clients across Canada's National Business Banking franchise. Strong background in pricing analytics, portfolio management, and delivering exceptional client service in fast-paced capital markets environments.</w:t>
      </w:r>
      <w:r w:rsidDel="00000000" w:rsidR="00000000" w:rsidRPr="00000000">
        <w:rPr>
          <w:rtl w:val="0"/>
        </w:rPr>
      </w:r>
    </w:p>
    <w:p w:rsidR="00000000" w:rsidDel="00000000" w:rsidP="00000000" w:rsidRDefault="00000000" w:rsidRPr="00000000" w14:paraId="00000007">
      <w:pPr>
        <w:pStyle w:val="Heading1"/>
        <w:rPr/>
      </w:pPr>
      <w:r w:rsidDel="00000000" w:rsidR="00000000" w:rsidRPr="00000000">
        <w:rPr>
          <w:rtl w:val="0"/>
        </w:rPr>
        <w:t xml:space="preserve">EXPERIENCE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10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Director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pPr>
      <w:r w:rsidDel="00000000" w:rsidR="00000000" w:rsidRPr="00000000">
        <w:rPr>
          <w:rFonts w:ascii="Arial" w:cs="Arial" w:eastAsia="Arial" w:hAnsi="Arial"/>
          <w:b w:val="0"/>
          <w:bCs w:val="0"/>
          <w:i w:val="1"/>
          <w:iCs w:val="1"/>
          <w:smallCaps w:val="0"/>
          <w:strike w:val="0"/>
          <w:color w:val="595959"/>
          <w:sz w:val="22"/>
          <w:szCs w:val="22"/>
          <w:u w:val="none"/>
          <w:shd w:fill="auto" w:val="clear"/>
          <w:vertAlign w:val="baseline"/>
          <w:rtl w:val="0"/>
        </w:rPr>
        <w:t xml:space="preserve">TD Securities  |  December 2024 – Present</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10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Vice President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b w:val="0"/>
          <w:bCs w:val="0"/>
          <w:i w:val="1"/>
          <w:iCs w:val="1"/>
          <w:smallCaps w:val="0"/>
          <w:strike w:val="0"/>
          <w:color w:val="595959"/>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595959"/>
          <w:sz w:val="22"/>
          <w:szCs w:val="22"/>
          <w:u w:val="none"/>
          <w:shd w:fill="auto" w:val="clear"/>
          <w:vertAlign w:val="baseline"/>
          <w:rtl w:val="0"/>
        </w:rPr>
        <w:t xml:space="preserve">TD Securities  |  January 2021 – December 2024</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Provided comprehensive coverage to National Business Banking franchise as member of Commercial Derivative team</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Structured, priced, and delivered sophisticated financial risk management strategies for commercial clients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Developed customized derivative solutions to meet complex client hedging requirements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Built and maintained strong relationships with senior stakeholders across business banking</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10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Senior Manager, Financial Solutions Group</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b w:val="0"/>
          <w:bCs w:val="0"/>
          <w:i w:val="1"/>
          <w:iCs w:val="1"/>
          <w:smallCaps w:val="0"/>
          <w:strike w:val="0"/>
          <w:color w:val="595959"/>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595959"/>
          <w:sz w:val="22"/>
          <w:szCs w:val="22"/>
          <w:u w:val="none"/>
          <w:shd w:fill="auto" w:val="clear"/>
          <w:vertAlign w:val="baseline"/>
          <w:rtl w:val="0"/>
        </w:rPr>
        <w:t xml:space="preserve">TD Securities  |  January 2019 – January 2021</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Delivered tailored risk management strategies to commercial clients across diverse industries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Collaborated with business banking partners to identify and address client hedging needs</w:t>
      </w:r>
    </w:p>
    <w:p w:rsidR="00000000" w:rsidDel="00000000" w:rsidP="00000000" w:rsidRDefault="00000000" w:rsidRPr="00000000" w14:paraId="00000014">
      <w:pPr>
        <w:spacing w:after="40" w:before="100" w:lineRule="auto"/>
        <w:rPr>
          <w:b w:val="1"/>
          <w:bCs w:val="1"/>
        </w:rPr>
      </w:pPr>
      <w:r w:rsidDel="00000000" w:rsidR="00000000" w:rsidRPr="00000000">
        <w:rPr>
          <w:b w:val="1"/>
          <w:bCs w:val="1"/>
          <w:rtl w:val="0"/>
        </w:rPr>
        <w:t xml:space="preserve">Manager, Financial Solutions Group</w:t>
      </w:r>
    </w:p>
    <w:p w:rsidR="00000000" w:rsidDel="00000000" w:rsidP="00000000" w:rsidRDefault="00000000" w:rsidRPr="00000000" w14:paraId="00000015">
      <w:pPr>
        <w:spacing w:after="80" w:lineRule="auto"/>
        <w:rPr>
          <w:i w:val="1"/>
          <w:iCs w:val="1"/>
          <w:color w:val="595959"/>
        </w:rPr>
      </w:pPr>
      <w:r w:rsidDel="00000000" w:rsidR="00000000" w:rsidRPr="00000000">
        <w:rPr>
          <w:i w:val="1"/>
          <w:iCs w:val="1"/>
          <w:color w:val="595959"/>
          <w:rtl w:val="0"/>
        </w:rPr>
        <w:t xml:space="preserve">TD Securities  |  January 2016 – January 2019</w:t>
      </w:r>
    </w:p>
    <w:p w:rsidR="00000000" w:rsidDel="00000000" w:rsidP="00000000" w:rsidRDefault="00000000" w:rsidRPr="00000000" w14:paraId="00000016">
      <w:pPr>
        <w:numPr>
          <w:ilvl w:val="0"/>
          <w:numId w:val="1"/>
        </w:numPr>
        <w:spacing w:after="160" w:lineRule="auto"/>
        <w:ind w:left="720" w:hanging="360"/>
      </w:pPr>
      <w:r w:rsidDel="00000000" w:rsidR="00000000" w:rsidRPr="00000000">
        <w:rPr>
          <w:rFonts w:ascii="Roboto" w:cs="Roboto" w:eastAsia="Roboto" w:hAnsi="Roboto"/>
          <w:sz w:val="21"/>
          <w:szCs w:val="21"/>
          <w:highlight w:val="white"/>
          <w:rtl w:val="0"/>
        </w:rPr>
        <w:t xml:space="preserve">As Manager for the Global Capital Markets Origination ("CMO") team, I acted as a Strategic Partner, delivering on our business strategy and played a key role in facilitating strategic discussions and identifying opportunities for the business in partnership with key stakeholders.</w:t>
      </w:r>
    </w:p>
    <w:p w:rsidR="00000000" w:rsidDel="00000000" w:rsidP="00000000" w:rsidRDefault="00000000" w:rsidRPr="00000000" w14:paraId="00000017">
      <w:pPr>
        <w:spacing w:after="40" w:before="100" w:lineRule="auto"/>
        <w:rPr>
          <w:b w:val="1"/>
          <w:bCs w:val="1"/>
        </w:rPr>
      </w:pPr>
      <w:r w:rsidDel="00000000" w:rsidR="00000000" w:rsidRPr="00000000">
        <w:rPr>
          <w:b w:val="1"/>
          <w:bCs w:val="1"/>
          <w:rtl w:val="0"/>
        </w:rPr>
        <w:t xml:space="preserve">Business Manager, Financial Solutions Group</w:t>
      </w:r>
    </w:p>
    <w:p w:rsidR="00000000" w:rsidDel="00000000" w:rsidP="00000000" w:rsidRDefault="00000000" w:rsidRPr="00000000" w14:paraId="00000018">
      <w:pPr>
        <w:spacing w:after="80" w:lineRule="auto"/>
        <w:rPr>
          <w:i w:val="1"/>
          <w:iCs w:val="1"/>
          <w:color w:val="595959"/>
        </w:rPr>
      </w:pPr>
      <w:r w:rsidDel="00000000" w:rsidR="00000000" w:rsidRPr="00000000">
        <w:rPr>
          <w:i w:val="1"/>
          <w:iCs w:val="1"/>
          <w:color w:val="595959"/>
          <w:rtl w:val="0"/>
        </w:rPr>
        <w:t xml:space="preserve">TD Securities  |  August 2014 – January 2016</w:t>
      </w:r>
    </w:p>
    <w:p w:rsidR="00000000" w:rsidDel="00000000" w:rsidP="00000000" w:rsidRDefault="00000000" w:rsidRPr="00000000" w14:paraId="00000019">
      <w:pPr>
        <w:numPr>
          <w:ilvl w:val="0"/>
          <w:numId w:val="1"/>
        </w:numPr>
        <w:spacing w:after="160" w:lineRule="auto"/>
        <w:ind w:left="720" w:hanging="360"/>
      </w:pPr>
      <w:r w:rsidDel="00000000" w:rsidR="00000000" w:rsidRPr="00000000">
        <w:rPr>
          <w:rFonts w:ascii="Roboto" w:cs="Roboto" w:eastAsia="Roboto" w:hAnsi="Roboto"/>
          <w:sz w:val="21"/>
          <w:szCs w:val="21"/>
          <w:highlight w:val="white"/>
          <w:rtl w:val="0"/>
        </w:rPr>
        <w:t xml:space="preserve">Global Capital Markets Origination ("CMO") Team  Derivative, Securitization Origination and Trading businesses, including the Asset Securitization Group, Asset Back Securitization Trading, Residential Mortgage Trading, Customized Solutions Group, Portfolio Valuation Group and Corporate and Commercial Derivatives Origination.</w:t>
      </w:r>
    </w:p>
    <w:p w:rsidR="00000000" w:rsidDel="00000000" w:rsidP="00000000" w:rsidRDefault="00000000" w:rsidRPr="00000000" w14:paraId="0000001A">
      <w:pPr>
        <w:numPr>
          <w:ilvl w:val="0"/>
          <w:numId w:val="1"/>
        </w:numPr>
        <w:spacing w:after="160" w:lineRule="auto"/>
        <w:ind w:left="720" w:hanging="360"/>
      </w:pPr>
      <w:r w:rsidDel="00000000" w:rsidR="00000000" w:rsidRPr="00000000">
        <w:rPr>
          <w:rFonts w:ascii="Roboto" w:cs="Roboto" w:eastAsia="Roboto" w:hAnsi="Roboto"/>
          <w:sz w:val="21"/>
          <w:szCs w:val="21"/>
          <w:highlight w:val="white"/>
          <w:rtl w:val="0"/>
        </w:rPr>
        <w:t xml:space="preserve">As the Business Manager for Global CMO, my primary objective was to represent the business on various initiatives related to Audit, Operations, Risk, and Compliance. I worked with stakeholders to proactively manage and respond to requests while identifying emerging risks and their potential solutions. I drove change by acting as a leader for activities affecting the business through introduction of new and improved structures, practices or processes. I contributed to new and existing strategy development by providing input which supports the day to day execution of the functions’ strategic direction.</w:t>
      </w:r>
    </w:p>
    <w:p w:rsidR="00000000" w:rsidDel="00000000" w:rsidP="00000000" w:rsidRDefault="00000000" w:rsidRPr="00000000" w14:paraId="0000001B">
      <w:pPr>
        <w:spacing w:after="40" w:before="100" w:lineRule="auto"/>
        <w:rPr>
          <w:b w:val="1"/>
          <w:bCs w:val="1"/>
        </w:rPr>
      </w:pPr>
      <w:r w:rsidDel="00000000" w:rsidR="00000000" w:rsidRPr="00000000">
        <w:rPr>
          <w:b w:val="1"/>
          <w:bCs w:val="1"/>
          <w:rtl w:val="0"/>
        </w:rPr>
        <w:t xml:space="preserve">Analyst, Financial Solutions Group</w:t>
      </w:r>
    </w:p>
    <w:p w:rsidR="00000000" w:rsidDel="00000000" w:rsidP="00000000" w:rsidRDefault="00000000" w:rsidRPr="00000000" w14:paraId="0000001C">
      <w:pPr>
        <w:spacing w:after="80" w:lineRule="auto"/>
        <w:rPr>
          <w:i w:val="1"/>
          <w:iCs w:val="1"/>
          <w:color w:val="595959"/>
        </w:rPr>
      </w:pPr>
      <w:r w:rsidDel="00000000" w:rsidR="00000000" w:rsidRPr="00000000">
        <w:rPr>
          <w:i w:val="1"/>
          <w:iCs w:val="1"/>
          <w:color w:val="595959"/>
          <w:rtl w:val="0"/>
        </w:rPr>
        <w:t xml:space="preserve">TD Securities  |  September 2012 – August 2014</w:t>
      </w:r>
    </w:p>
    <w:p w:rsidR="00000000" w:rsidDel="00000000" w:rsidP="00000000" w:rsidRDefault="00000000" w:rsidRPr="00000000" w14:paraId="0000001D">
      <w:pPr>
        <w:numPr>
          <w:ilvl w:val="0"/>
          <w:numId w:val="1"/>
        </w:numPr>
        <w:spacing w:after="160" w:lineRule="auto"/>
        <w:ind w:left="720" w:hanging="360"/>
      </w:pPr>
      <w:r w:rsidDel="00000000" w:rsidR="00000000" w:rsidRPr="00000000">
        <w:rPr>
          <w:rFonts w:ascii="Roboto" w:cs="Roboto" w:eastAsia="Roboto" w:hAnsi="Roboto"/>
          <w:sz w:val="21"/>
          <w:szCs w:val="21"/>
          <w:highlight w:val="white"/>
          <w:rtl w:val="0"/>
        </w:rPr>
        <w:t xml:space="preserve">Trading Business Management ("TBM") provides dedicated business support to the sales and trading businesses, liaises with independent support and control functions on a variety of enterprise initiatives and acts in the capacity of the front office to facilitate their objectives.</w:t>
      </w:r>
    </w:p>
    <w:p w:rsidR="00000000" w:rsidDel="00000000" w:rsidP="00000000" w:rsidRDefault="00000000" w:rsidRPr="00000000" w14:paraId="0000001E">
      <w:pPr>
        <w:numPr>
          <w:ilvl w:val="0"/>
          <w:numId w:val="1"/>
        </w:numPr>
        <w:spacing w:after="160" w:lineRule="auto"/>
        <w:ind w:left="720" w:hanging="360"/>
      </w:pPr>
      <w:r w:rsidDel="00000000" w:rsidR="00000000" w:rsidRPr="00000000">
        <w:rPr>
          <w:rFonts w:ascii="Roboto" w:cs="Roboto" w:eastAsia="Roboto" w:hAnsi="Roboto"/>
          <w:sz w:val="21"/>
          <w:szCs w:val="21"/>
          <w:highlight w:val="white"/>
          <w:rtl w:val="0"/>
        </w:rPr>
        <w:t xml:space="preserve">As a member of TBM, my primary objective was to provide the necessary production, coordination and reporting services and support to ensure the monthly front office supervision process continued to function efficiently and effectively in adherence to established policies, procedures, governance standards, risk appetite and/or regulatory requirements.</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10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Pricing Analyst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b w:val="0"/>
          <w:bCs w:val="0"/>
          <w:i w:val="1"/>
          <w:iCs w:val="1"/>
          <w:smallCaps w:val="0"/>
          <w:strike w:val="0"/>
          <w:color w:val="595959"/>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595959"/>
          <w:sz w:val="22"/>
          <w:szCs w:val="22"/>
          <w:u w:val="none"/>
          <w:shd w:fill="auto" w:val="clear"/>
          <w:vertAlign w:val="baseline"/>
          <w:rtl w:val="0"/>
        </w:rPr>
        <w:t xml:space="preserve">TD  |  November 2009 – September 2012</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Responsible for pricing all securities across TD and Institutional Funds, PIC portfolios, TD Waterhouse Canada brokerage accounts, Estate &amp; Trust, and Separately Managed Accounts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Maintained security master database for TD and Institutional Funds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Oversaw daily foreign exchange rate updates ensuring accuracy and timeliness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10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10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Customer Service Representative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b w:val="0"/>
          <w:bCs w:val="0"/>
          <w:i w:val="1"/>
          <w:iCs w:val="1"/>
          <w:smallCaps w:val="0"/>
          <w:strike w:val="0"/>
          <w:color w:val="595959"/>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595959"/>
          <w:sz w:val="22"/>
          <w:szCs w:val="22"/>
          <w:u w:val="none"/>
          <w:shd w:fill="auto" w:val="clear"/>
          <w:vertAlign w:val="baseline"/>
          <w:rtl w:val="0"/>
        </w:rPr>
        <w:t xml:space="preserve">TD  |  August 2008 – November 2009</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Consistently exceeded quarterly sales targets while maintaining exceptional customer service standards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Processed complex transactions and contributed to branch goals and objectives</w:t>
      </w:r>
    </w:p>
    <w:p w:rsidR="00000000" w:rsidDel="00000000" w:rsidP="00000000" w:rsidRDefault="00000000" w:rsidRPr="00000000" w14:paraId="00000029">
      <w:pPr>
        <w:pStyle w:val="Heading1"/>
        <w:rPr/>
      </w:pPr>
      <w:r w:rsidDel="00000000" w:rsidR="00000000" w:rsidRPr="00000000">
        <w:rPr>
          <w:rtl w:val="0"/>
        </w:rPr>
        <w:t xml:space="preserve">EDUCATION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10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Bachelor of Commerce, Business Technology Management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b w:val="0"/>
          <w:bCs w:val="0"/>
          <w:i w:val="1"/>
          <w:iCs w:val="1"/>
          <w:smallCaps w:val="0"/>
          <w:strike w:val="0"/>
          <w:color w:val="595959"/>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595959"/>
          <w:sz w:val="22"/>
          <w:szCs w:val="22"/>
          <w:u w:val="none"/>
          <w:shd w:fill="auto" w:val="clear"/>
          <w:vertAlign w:val="baseline"/>
          <w:rtl w:val="0"/>
        </w:rPr>
        <w:t xml:space="preserve">Ryerson University  |  2009 – 2015</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10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Diploma, Business Financial Management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595959"/>
          <w:sz w:val="22"/>
          <w:szCs w:val="22"/>
          <w:u w:val="none"/>
          <w:shd w:fill="auto" w:val="clear"/>
          <w:vertAlign w:val="baseline"/>
          <w:rtl w:val="0"/>
        </w:rPr>
        <w:t xml:space="preserve">George Brown College  |  2006 – 2009</w:t>
      </w:r>
      <w:r w:rsidDel="00000000" w:rsidR="00000000" w:rsidRPr="00000000">
        <w:rPr>
          <w:rtl w:val="0"/>
        </w:rPr>
      </w:r>
    </w:p>
    <w:p w:rsidR="00000000" w:rsidDel="00000000" w:rsidP="00000000" w:rsidRDefault="00000000" w:rsidRPr="00000000" w14:paraId="0000002E">
      <w:pPr>
        <w:pStyle w:val="Heading1"/>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1"/>
        <w:rPr/>
      </w:pPr>
      <w:r w:rsidDel="00000000" w:rsidR="00000000" w:rsidRPr="00000000">
        <w:rPr>
          <w:rtl w:val="0"/>
        </w:rPr>
      </w:r>
    </w:p>
    <w:p w:rsidR="00000000" w:rsidDel="00000000" w:rsidP="00000000" w:rsidRDefault="00000000" w:rsidRPr="00000000" w14:paraId="00000032">
      <w:pPr>
        <w:pStyle w:val="Heading1"/>
        <w:rPr/>
      </w:pPr>
      <w:r w:rsidDel="00000000" w:rsidR="00000000" w:rsidRPr="00000000">
        <w:rPr>
          <w:rtl w:val="0"/>
        </w:rPr>
        <w:t xml:space="preserve">COMMUNITY INVOLVEMENT</w:t>
      </w:r>
    </w:p>
    <w:p w:rsidR="00000000" w:rsidDel="00000000" w:rsidP="00000000" w:rsidRDefault="00000000" w:rsidRPr="00000000" w14:paraId="00000033">
      <w:pPr>
        <w:spacing w:after="40" w:before="100" w:lineRule="auto"/>
        <w:rPr>
          <w:b w:val="1"/>
          <w:bCs w:val="1"/>
        </w:rPr>
      </w:pPr>
      <w:r w:rsidDel="00000000" w:rsidR="00000000" w:rsidRPr="00000000">
        <w:rPr>
          <w:b w:val="1"/>
          <w:bCs w:val="1"/>
          <w:rtl w:val="0"/>
        </w:rPr>
        <w:t xml:space="preserve">Board Member</w:t>
      </w:r>
    </w:p>
    <w:p w:rsidR="00000000" w:rsidDel="00000000" w:rsidP="00000000" w:rsidRDefault="00000000" w:rsidRPr="00000000" w14:paraId="00000034">
      <w:pPr>
        <w:spacing w:after="80" w:lineRule="auto"/>
        <w:rPr>
          <w:i w:val="1"/>
          <w:iCs w:val="1"/>
          <w:color w:val="595959"/>
        </w:rPr>
      </w:pPr>
      <w:r w:rsidDel="00000000" w:rsidR="00000000" w:rsidRPr="00000000">
        <w:rPr>
          <w:i w:val="1"/>
          <w:iCs w:val="1"/>
          <w:color w:val="595959"/>
          <w:rtl w:val="0"/>
        </w:rPr>
        <w:t xml:space="preserve">Hackergal  |  July 2025 – Present</w:t>
      </w:r>
    </w:p>
    <w:p w:rsidR="00000000" w:rsidDel="00000000" w:rsidP="00000000" w:rsidRDefault="00000000" w:rsidRPr="00000000" w14:paraId="00000035">
      <w:pPr>
        <w:numPr>
          <w:ilvl w:val="0"/>
          <w:numId w:val="1"/>
        </w:numPr>
        <w:spacing w:after="160" w:lineRule="auto"/>
        <w:ind w:left="720" w:hanging="360"/>
      </w:pPr>
      <w:r w:rsidDel="00000000" w:rsidR="00000000" w:rsidRPr="00000000">
        <w:rPr>
          <w:rtl w:val="0"/>
        </w:rPr>
        <w:t xml:space="preserve">Hackergal is a Canadian Not-for-Profit Charitable Organization. Hackergal is on a mission to equip girls* and gender-diverse learners with the tools they need to succeed in STEAM no matter where they live and learn while supporting educators to bring coding into their classrooms with confidence. </w:t>
      </w:r>
    </w:p>
    <w:p w:rsidR="00000000" w:rsidDel="00000000" w:rsidP="00000000" w:rsidRDefault="00000000" w:rsidRPr="00000000" w14:paraId="00000036">
      <w:pPr>
        <w:spacing w:after="160" w:lineRule="auto"/>
        <w:ind w:left="720" w:firstLine="0"/>
        <w:rPr/>
      </w:pPr>
      <w:r w:rsidDel="00000000" w:rsidR="00000000" w:rsidRPr="00000000">
        <w:rPr>
          <w:rtl w:val="0"/>
        </w:rPr>
        <w:t xml:space="preserve">*Hackergal is committed to equity, diversity and inclusion. We welcome the participation of girls, gender-diverse, non-binary, and two-spirit learners. We use an inclusive definition of “girls” and “women” and welcome the participation of all learners who identify as girls.</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10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Board Member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b w:val="0"/>
          <w:bCs w:val="0"/>
          <w:i w:val="1"/>
          <w:iCs w:val="1"/>
          <w:smallCaps w:val="0"/>
          <w:strike w:val="0"/>
          <w:color w:val="595959"/>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595959"/>
          <w:sz w:val="22"/>
          <w:szCs w:val="22"/>
          <w:u w:val="none"/>
          <w:shd w:fill="auto" w:val="clear"/>
          <w:vertAlign w:val="baseline"/>
          <w:rtl w:val="0"/>
        </w:rPr>
        <w:t xml:space="preserve">Friendship in Action  |  January 2017 – January 2024</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Served on the board of a not-for-profit charitable education organization focused on developing positive relationships and emotional/social health in elementary school children across the Greater Toronto Area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10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Lead Event Planner &amp; Fundraiser</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Arial" w:cs="Arial" w:eastAsia="Arial" w:hAnsi="Arial"/>
          <w:b w:val="0"/>
          <w:bCs w:val="0"/>
          <w:i w:val="1"/>
          <w:iCs w:val="1"/>
          <w:smallCaps w:val="0"/>
          <w:strike w:val="0"/>
          <w:color w:val="595959"/>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595959"/>
          <w:sz w:val="22"/>
          <w:szCs w:val="22"/>
          <w:u w:val="none"/>
          <w:shd w:fill="auto" w:val="clear"/>
          <w:vertAlign w:val="baseline"/>
          <w:rtl w:val="0"/>
        </w:rPr>
        <w:t xml:space="preserve">SickKids Foundation  |  June 2011 – August 2012</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Organized Toronto's largest beach volleyball tournament at Ashbridges Bay Beach, raising funds for SickKids Foundation</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1f4e78"/>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40" w:lineRule="auto"/>
      <w:ind w:left="0" w:right="0" w:firstLine="0"/>
      <w:jc w:val="left"/>
    </w:pPr>
    <w:rPr>
      <w:rFonts w:ascii="Arial" w:cs="Arial" w:eastAsia="Arial" w:hAnsi="Arial"/>
      <w:b w:val="1"/>
      <w:bCs w:val="1"/>
      <w:i w:val="0"/>
      <w:iCs w:val="0"/>
      <w:smallCaps w:val="0"/>
      <w:strike w:val="0"/>
      <w:color w:val="1f4e78"/>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